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67" w:rsidRDefault="00363CD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18"/>
          <w:szCs w:val="18"/>
        </w:rPr>
        <w:t>УДК 666.94:621.926</w:t>
      </w:r>
    </w:p>
    <w:p w:rsidR="00AD4267" w:rsidRDefault="00AD4267">
      <w:pPr>
        <w:spacing w:line="218" w:lineRule="exact"/>
        <w:rPr>
          <w:sz w:val="24"/>
          <w:szCs w:val="24"/>
        </w:rPr>
      </w:pPr>
    </w:p>
    <w:p w:rsidR="00363CDF" w:rsidRDefault="00363CDF">
      <w:pPr>
        <w:spacing w:line="233" w:lineRule="auto"/>
        <w:ind w:right="13"/>
        <w:jc w:val="center"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 xml:space="preserve">Ерофеев В.Т., Родин А.И., Бочкин В.С., Якунин В.В. </w:t>
      </w:r>
    </w:p>
    <w:p w:rsidR="00AD4267" w:rsidRDefault="00363CDF">
      <w:pPr>
        <w:spacing w:line="233" w:lineRule="auto"/>
        <w:ind w:right="13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i/>
          <w:iCs/>
          <w:sz w:val="18"/>
          <w:szCs w:val="18"/>
        </w:rPr>
        <w:t>Россия, Белгород, БГТУ им. В.Г. Шухова</w:t>
      </w:r>
    </w:p>
    <w:p w:rsidR="00AD4267" w:rsidRDefault="00AD4267">
      <w:pPr>
        <w:spacing w:line="248" w:lineRule="exact"/>
        <w:rPr>
          <w:sz w:val="24"/>
          <w:szCs w:val="24"/>
        </w:rPr>
      </w:pPr>
    </w:p>
    <w:p w:rsidR="00AD4267" w:rsidRDefault="00363CDF">
      <w:pPr>
        <w:spacing w:line="235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ФИЗИКО-МЕХАНИЧЕСКИЕ СВОЙСТВА ЦЕМЕНТОВ,</w:t>
      </w:r>
      <w:r>
        <w:rPr>
          <w:rFonts w:eastAsia="Times New Roman"/>
          <w:b/>
          <w:bCs/>
          <w:sz w:val="20"/>
          <w:szCs w:val="20"/>
        </w:rPr>
        <w:t xml:space="preserve"> МОДИФИЦИРОВАННЫХ ОТХОДАМИ ПРОИЗВОДСТВА МИНЕРАЛЬНОЙ ВАТЫ</w:t>
      </w:r>
    </w:p>
    <w:p w:rsidR="00AD4267" w:rsidRDefault="00AD4267">
      <w:pPr>
        <w:spacing w:line="308" w:lineRule="exact"/>
        <w:rPr>
          <w:sz w:val="24"/>
          <w:szCs w:val="24"/>
        </w:rPr>
      </w:pPr>
    </w:p>
    <w:p w:rsidR="00AD4267" w:rsidRDefault="00363CDF">
      <w:pPr>
        <w:spacing w:line="233" w:lineRule="auto"/>
        <w:ind w:left="7" w:firstLine="427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Введение. </w:t>
      </w:r>
      <w:r>
        <w:rPr>
          <w:rFonts w:eastAsia="Times New Roman"/>
          <w:sz w:val="20"/>
          <w:szCs w:val="20"/>
        </w:rPr>
        <w:t>В России ежегодно образуется около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7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млрд.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промышленных отходов, при этом используется лишь 2 млрд. т или 28</w:t>
      </w:r>
    </w:p>
    <w:p w:rsidR="00AD4267" w:rsidRDefault="00AD4267">
      <w:pPr>
        <w:spacing w:line="12" w:lineRule="exact"/>
        <w:rPr>
          <w:sz w:val="24"/>
          <w:szCs w:val="24"/>
        </w:rPr>
      </w:pPr>
    </w:p>
    <w:p w:rsidR="00AD4267" w:rsidRDefault="00363CDF">
      <w:pPr>
        <w:numPr>
          <w:ilvl w:val="0"/>
          <w:numId w:val="1"/>
        </w:numPr>
        <w:tabs>
          <w:tab w:val="left" w:pos="290"/>
        </w:tabs>
        <w:spacing w:line="239" w:lineRule="auto"/>
        <w:ind w:left="7" w:hanging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 общего объема используемых отходов около 80 % (вскрышные породы и отходы </w:t>
      </w:r>
      <w:r>
        <w:rPr>
          <w:rFonts w:eastAsia="Times New Roman"/>
          <w:sz w:val="20"/>
          <w:szCs w:val="20"/>
        </w:rPr>
        <w:t>обогащения) направляются на закладку выработанного пространства шахт и карьеров, 2 % отходов используется в качестве топлива и минеральных удобрений и всего лишь 18 % или 360 млн. т применяются в качестве возвратного сырья (из них 200 млн. т – в стройиндус</w:t>
      </w:r>
      <w:r>
        <w:rPr>
          <w:rFonts w:eastAsia="Times New Roman"/>
          <w:sz w:val="20"/>
          <w:szCs w:val="20"/>
        </w:rPr>
        <w:t>трии). На территории нашей страны в отвалах и хранилищах накоплено свыше 100 млрд. т твердых промышленных отходов. Сконцентрированные в отвалах и свалках отходы являются источниками загрязнения поверхностных и подземных вод, атмосферы, почвы и растений. Пр</w:t>
      </w:r>
      <w:r>
        <w:rPr>
          <w:rFonts w:eastAsia="Times New Roman"/>
          <w:sz w:val="20"/>
          <w:szCs w:val="20"/>
        </w:rPr>
        <w:t>и этом изымаются из хозяйственного оборота сотни тысяч гектаров земель. Между тем, в техногенных отходах сосредоточено огромное количество различных сырьевых материалов [1-3].</w:t>
      </w:r>
    </w:p>
    <w:p w:rsidR="00AD4267" w:rsidRDefault="00AD4267">
      <w:pPr>
        <w:spacing w:line="13" w:lineRule="exact"/>
        <w:rPr>
          <w:rFonts w:eastAsia="Times New Roman"/>
          <w:sz w:val="20"/>
          <w:szCs w:val="20"/>
        </w:rPr>
      </w:pPr>
    </w:p>
    <w:p w:rsidR="00AD4267" w:rsidRDefault="00363CDF">
      <w:pPr>
        <w:spacing w:line="238" w:lineRule="auto"/>
        <w:ind w:left="7" w:firstLine="42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Основная часть. </w:t>
      </w:r>
      <w:r>
        <w:rPr>
          <w:rFonts w:eastAsia="Times New Roman"/>
          <w:sz w:val="20"/>
          <w:szCs w:val="20"/>
        </w:rPr>
        <w:t>Цемент является уникальным строительным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материалом, на свойства</w:t>
      </w:r>
      <w:r>
        <w:rPr>
          <w:rFonts w:eastAsia="Times New Roman"/>
          <w:sz w:val="20"/>
          <w:szCs w:val="20"/>
        </w:rPr>
        <w:t xml:space="preserve"> которого влияют не только физико-химический особенности самого вяжущего, но содержание и качество применяемых сопутствующих материалов (вода, песок, добавки и др.) [4-10]. Ниже представлены технологические свойства цементных композиций, модифицированных о</w:t>
      </w:r>
      <w:r>
        <w:rPr>
          <w:rFonts w:eastAsia="Times New Roman"/>
          <w:sz w:val="20"/>
          <w:szCs w:val="20"/>
        </w:rPr>
        <w:t>тходами производства минеральной ваты и физико-механические показатели композитов на их основе (рисунок 1).</w:t>
      </w:r>
    </w:p>
    <w:p w:rsidR="00AD4267" w:rsidRDefault="00AD4267">
      <w:pPr>
        <w:spacing w:line="16" w:lineRule="exact"/>
        <w:rPr>
          <w:rFonts w:eastAsia="Times New Roman"/>
          <w:sz w:val="20"/>
          <w:szCs w:val="20"/>
        </w:rPr>
      </w:pPr>
    </w:p>
    <w:p w:rsidR="00AD4267" w:rsidRDefault="00363CDF">
      <w:pPr>
        <w:spacing w:line="237" w:lineRule="auto"/>
        <w:ind w:left="7" w:firstLine="42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Нормальную густоту цементного теста определяют путем установления необходимого количества воды для затворения цемента. Другими словами, это водоцем</w:t>
      </w:r>
      <w:r>
        <w:rPr>
          <w:rFonts w:eastAsia="Times New Roman"/>
          <w:sz w:val="20"/>
          <w:szCs w:val="20"/>
        </w:rPr>
        <w:t>ентное отношение в процентах, при котором достигается нормированная консистенция цементного теста. Данное свойство напрямую зависит от химико-минералогического</w:t>
      </w:r>
    </w:p>
    <w:p w:rsidR="00AD4267" w:rsidRDefault="00AD4267">
      <w:pPr>
        <w:sectPr w:rsidR="00AD4267">
          <w:pgSz w:w="8400" w:h="11906"/>
          <w:pgMar w:top="1132" w:right="1130" w:bottom="1440" w:left="1133" w:header="0" w:footer="0" w:gutter="0"/>
          <w:cols w:space="720" w:equalWidth="0">
            <w:col w:w="6127"/>
          </w:cols>
        </w:sectPr>
      </w:pPr>
    </w:p>
    <w:p w:rsidR="00AD4267" w:rsidRDefault="00363CDF">
      <w:pPr>
        <w:spacing w:line="234" w:lineRule="auto"/>
        <w:ind w:left="120"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состава клинкера, удельной поверхности цемента,</w:t>
      </w:r>
      <w:r>
        <w:rPr>
          <w:rFonts w:eastAsia="Times New Roman"/>
          <w:sz w:val="20"/>
          <w:szCs w:val="20"/>
        </w:rPr>
        <w:t xml:space="preserve"> содержания и особенностей добавок в нем и многих других факторов [11].</w:t>
      </w:r>
    </w:p>
    <w:p w:rsidR="00AD4267" w:rsidRDefault="00363C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216535</wp:posOffset>
            </wp:positionH>
            <wp:positionV relativeFrom="paragraph">
              <wp:posOffset>151765</wp:posOffset>
            </wp:positionV>
            <wp:extent cx="3618865" cy="1342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327" w:lineRule="exact"/>
        <w:rPr>
          <w:sz w:val="20"/>
          <w:szCs w:val="20"/>
        </w:rPr>
      </w:pPr>
    </w:p>
    <w:p w:rsidR="00AD4267" w:rsidRDefault="00363CDF">
      <w:pPr>
        <w:tabs>
          <w:tab w:val="left" w:pos="4520"/>
        </w:tabs>
        <w:ind w:left="170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б</w:t>
      </w:r>
    </w:p>
    <w:p w:rsidR="00AD4267" w:rsidRDefault="00363C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216535</wp:posOffset>
            </wp:positionH>
            <wp:positionV relativeFrom="paragraph">
              <wp:posOffset>4445</wp:posOffset>
            </wp:positionV>
            <wp:extent cx="3618865" cy="1342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pacing w:line="295" w:lineRule="exact"/>
        <w:rPr>
          <w:sz w:val="20"/>
          <w:szCs w:val="20"/>
        </w:rPr>
      </w:pPr>
    </w:p>
    <w:p w:rsidR="00AD4267" w:rsidRDefault="00363CDF">
      <w:pPr>
        <w:tabs>
          <w:tab w:val="left" w:pos="4540"/>
        </w:tabs>
        <w:ind w:left="172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г</w:t>
      </w:r>
    </w:p>
    <w:p w:rsidR="00AD4267" w:rsidRDefault="00AD4267">
      <w:pPr>
        <w:spacing w:line="3" w:lineRule="exact"/>
        <w:rPr>
          <w:sz w:val="20"/>
          <w:szCs w:val="20"/>
        </w:rPr>
      </w:pPr>
    </w:p>
    <w:p w:rsidR="00AD4267" w:rsidRDefault="00363CDF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Рисунок 1. Форма частиц отходов производства минеральной ваты ООО</w:t>
      </w:r>
    </w:p>
    <w:p w:rsidR="00AD4267" w:rsidRDefault="00363CDF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«Комбинат теплоизоляционных изделий» (г. Саранск) фракций: </w:t>
      </w:r>
      <w:r>
        <w:rPr>
          <w:rFonts w:eastAsia="Times New Roman"/>
          <w:i/>
          <w:iCs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– 0,63–1,25;</w:t>
      </w:r>
    </w:p>
    <w:p w:rsidR="00AD4267" w:rsidRDefault="00AD4267">
      <w:pPr>
        <w:spacing w:line="1" w:lineRule="exact"/>
        <w:rPr>
          <w:sz w:val="20"/>
          <w:szCs w:val="20"/>
        </w:rPr>
      </w:pPr>
    </w:p>
    <w:p w:rsidR="00AD4267" w:rsidRDefault="00363CDF">
      <w:pPr>
        <w:numPr>
          <w:ilvl w:val="0"/>
          <w:numId w:val="2"/>
        </w:numPr>
        <w:tabs>
          <w:tab w:val="left" w:pos="1740"/>
        </w:tabs>
        <w:ind w:left="1740" w:hanging="139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– 0,315–0,63; </w:t>
      </w:r>
      <w:r>
        <w:rPr>
          <w:rFonts w:eastAsia="Times New Roman"/>
          <w:i/>
          <w:iCs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– 0,16–0,315; </w:t>
      </w:r>
      <w:r>
        <w:rPr>
          <w:rFonts w:eastAsia="Times New Roman"/>
          <w:i/>
          <w:iCs/>
          <w:sz w:val="18"/>
          <w:szCs w:val="18"/>
        </w:rPr>
        <w:t>г</w:t>
      </w:r>
      <w:r>
        <w:rPr>
          <w:rFonts w:eastAsia="Times New Roman"/>
          <w:sz w:val="18"/>
          <w:szCs w:val="18"/>
        </w:rPr>
        <w:t xml:space="preserve"> – поддон</w:t>
      </w:r>
    </w:p>
    <w:p w:rsidR="00AD4267" w:rsidRDefault="00AD4267">
      <w:pPr>
        <w:spacing w:line="238" w:lineRule="exact"/>
        <w:rPr>
          <w:sz w:val="20"/>
          <w:szCs w:val="20"/>
        </w:rPr>
      </w:pPr>
    </w:p>
    <w:p w:rsidR="00AD4267" w:rsidRDefault="00363CDF">
      <w:pPr>
        <w:spacing w:line="235" w:lineRule="auto"/>
        <w:ind w:left="120" w:right="120" w:firstLine="42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ТЕКСТ. ТЕКСТ ТЕКСТ. ТЕКСТ. ТЕКСТ. ТЕКСТ. ТЕКСТ ТЕКСТ. ТЕКСТ. ТЕКСТ. ТЕКСТ. ТЕКСТ ТЕКСТ. ТЕКСТ. ТЕКСТ. Результаты представлены в таблице 1.</w:t>
      </w:r>
    </w:p>
    <w:p w:rsidR="00AD4267" w:rsidRDefault="00AD426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580"/>
        <w:gridCol w:w="1600"/>
        <w:gridCol w:w="1580"/>
      </w:tblGrid>
      <w:tr w:rsidR="00AD4267">
        <w:trPr>
          <w:trHeight w:val="230"/>
        </w:trPr>
        <w:tc>
          <w:tcPr>
            <w:tcW w:w="1600" w:type="dxa"/>
            <w:vAlign w:val="bottom"/>
          </w:tcPr>
          <w:p w:rsidR="00AD4267" w:rsidRDefault="00AD4267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vAlign w:val="bottom"/>
          </w:tcPr>
          <w:p w:rsidR="00AD4267" w:rsidRDefault="00AD426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AD4267" w:rsidRDefault="00AD4267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vAlign w:val="bottom"/>
          </w:tcPr>
          <w:p w:rsidR="00AD4267" w:rsidRDefault="00363CD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1</w:t>
            </w:r>
          </w:p>
        </w:tc>
      </w:tr>
      <w:tr w:rsidR="00AD4267">
        <w:trPr>
          <w:trHeight w:val="235"/>
        </w:trPr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D4267" w:rsidRDefault="00AD4267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</w:tcBorders>
            <w:vAlign w:val="bottom"/>
          </w:tcPr>
          <w:p w:rsidR="00AD4267" w:rsidRDefault="00363CD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исследования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D4267" w:rsidRDefault="00AD4267">
            <w:pPr>
              <w:rPr>
                <w:sz w:val="20"/>
                <w:szCs w:val="20"/>
              </w:rPr>
            </w:pPr>
          </w:p>
        </w:tc>
      </w:tr>
      <w:tr w:rsidR="00AD4267">
        <w:trPr>
          <w:trHeight w:val="19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</w:tr>
      <w:tr w:rsidR="00AD4267">
        <w:trPr>
          <w:trHeight w:val="19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6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6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</w:tr>
      <w:tr w:rsidR="00AD4267">
        <w:trPr>
          <w:trHeight w:val="19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4267" w:rsidRDefault="00363CDF">
            <w:pPr>
              <w:spacing w:line="19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Текст</w:t>
            </w:r>
          </w:p>
        </w:tc>
      </w:tr>
    </w:tbl>
    <w:p w:rsidR="00AD4267" w:rsidRDefault="00AD4267">
      <w:pPr>
        <w:spacing w:line="200" w:lineRule="exact"/>
        <w:rPr>
          <w:sz w:val="20"/>
          <w:szCs w:val="20"/>
        </w:rPr>
      </w:pPr>
    </w:p>
    <w:p w:rsidR="00AD4267" w:rsidRDefault="00AD4267">
      <w:pPr>
        <w:sectPr w:rsidR="00AD4267">
          <w:pgSz w:w="8400" w:h="11906"/>
          <w:pgMar w:top="1136" w:right="1010" w:bottom="1440" w:left="1020" w:header="0" w:footer="0" w:gutter="0"/>
          <w:cols w:space="720" w:equalWidth="0">
            <w:col w:w="6360"/>
          </w:cols>
        </w:sectPr>
      </w:pPr>
    </w:p>
    <w:p w:rsidR="00AD4267" w:rsidRDefault="00AD4267">
      <w:pPr>
        <w:spacing w:line="33" w:lineRule="exact"/>
        <w:rPr>
          <w:sz w:val="20"/>
          <w:szCs w:val="20"/>
        </w:rPr>
      </w:pPr>
    </w:p>
    <w:p w:rsidR="00AD4267" w:rsidRDefault="00363CDF">
      <w:pPr>
        <w:spacing w:line="234" w:lineRule="auto"/>
        <w:ind w:left="120" w:right="120" w:firstLine="427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Выводы. </w:t>
      </w:r>
      <w:r>
        <w:rPr>
          <w:rFonts w:eastAsia="Times New Roman"/>
          <w:sz w:val="20"/>
          <w:szCs w:val="20"/>
        </w:rPr>
        <w:t>С позиции обеспечения получения материалов с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нормативными и улучшенными свойствами в результате проведенных</w:t>
      </w:r>
    </w:p>
    <w:p w:rsidR="00AD4267" w:rsidRDefault="00AD4267">
      <w:pPr>
        <w:sectPr w:rsidR="00AD4267">
          <w:type w:val="continuous"/>
          <w:pgSz w:w="8400" w:h="11906"/>
          <w:pgMar w:top="1136" w:right="1010" w:bottom="1440" w:left="1020" w:header="0" w:footer="0" w:gutter="0"/>
          <w:cols w:space="720" w:equalWidth="0">
            <w:col w:w="6360"/>
          </w:cols>
        </w:sectPr>
      </w:pPr>
    </w:p>
    <w:p w:rsidR="00AD4267" w:rsidRDefault="00363CDF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исследований подтверждена возможность </w:t>
      </w:r>
      <w:r>
        <w:rPr>
          <w:rFonts w:eastAsia="Times New Roman"/>
          <w:sz w:val="20"/>
          <w:szCs w:val="20"/>
        </w:rPr>
        <w:t>использования отходов производства минеральной ваты в качестве активной минеральной добавки для цемента, а также установлено рациональное содержание составляющих компонентов в цементе.</w:t>
      </w:r>
    </w:p>
    <w:p w:rsidR="00AD4267" w:rsidRDefault="00AD4267">
      <w:pPr>
        <w:spacing w:line="238" w:lineRule="exact"/>
        <w:rPr>
          <w:sz w:val="20"/>
          <w:szCs w:val="20"/>
        </w:rPr>
      </w:pPr>
    </w:p>
    <w:p w:rsidR="00AD4267" w:rsidRDefault="00363CD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БИБЛИОГРАФИЧЕСКИЙ СПИСОК</w:t>
      </w:r>
    </w:p>
    <w:p w:rsidR="00AD4267" w:rsidRDefault="00AD4267">
      <w:pPr>
        <w:spacing w:line="234" w:lineRule="exact"/>
        <w:rPr>
          <w:sz w:val="20"/>
          <w:szCs w:val="20"/>
        </w:rPr>
      </w:pPr>
    </w:p>
    <w:p w:rsidR="00AD4267" w:rsidRDefault="00363CDF">
      <w:pPr>
        <w:numPr>
          <w:ilvl w:val="1"/>
          <w:numId w:val="3"/>
        </w:numPr>
        <w:tabs>
          <w:tab w:val="left" w:pos="638"/>
        </w:tabs>
        <w:spacing w:line="236" w:lineRule="auto"/>
        <w:ind w:left="7" w:firstLine="4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Вдовина Е.В. Получение керамического кирпича</w:t>
      </w:r>
      <w:r>
        <w:rPr>
          <w:rFonts w:eastAsia="Times New Roman"/>
          <w:sz w:val="20"/>
          <w:szCs w:val="20"/>
        </w:rPr>
        <w:t xml:space="preserve"> на основе бейделлитовой глины и отходов минеральной ваты : дис. … канд. техн. наук. Самара, 2011. 166 с.</w:t>
      </w:r>
    </w:p>
    <w:p w:rsidR="00AD4267" w:rsidRDefault="00AD4267">
      <w:pPr>
        <w:spacing w:line="12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3"/>
        </w:numPr>
        <w:tabs>
          <w:tab w:val="left" w:pos="638"/>
        </w:tabs>
        <w:spacing w:line="234" w:lineRule="auto"/>
        <w:ind w:left="7" w:right="20" w:firstLine="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Пальгунов П.П., Сумароков М.В. Утилизация промышленных отходов. М.: Стройиздат. 1990. 352 с.</w:t>
      </w:r>
    </w:p>
    <w:p w:rsidR="00AD4267" w:rsidRDefault="00AD4267">
      <w:pPr>
        <w:spacing w:line="10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3"/>
        </w:numPr>
        <w:tabs>
          <w:tab w:val="left" w:pos="638"/>
        </w:tabs>
        <w:spacing w:line="238" w:lineRule="auto"/>
        <w:ind w:left="7" w:firstLine="4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Нефедова И.Н., Крашенинникова Н.С., Гарбер Е.Г. Отходы </w:t>
      </w:r>
      <w:r>
        <w:rPr>
          <w:rFonts w:eastAsia="Times New Roman"/>
          <w:sz w:val="20"/>
          <w:szCs w:val="20"/>
        </w:rPr>
        <w:t>производства минеральной ваты как техногенное сырье // Химия и химическая технология неорганических веществ и материалов : материалы Третьей науч. Конф. Томск : Изд-во Томкого политех. ун-та, 2011. С. 33-34.</w:t>
      </w:r>
    </w:p>
    <w:p w:rsidR="00AD4267" w:rsidRDefault="00AD4267">
      <w:pPr>
        <w:spacing w:line="11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3"/>
        </w:numPr>
        <w:tabs>
          <w:tab w:val="left" w:pos="638"/>
        </w:tabs>
        <w:spacing w:line="233" w:lineRule="auto"/>
        <w:ind w:left="7" w:firstLine="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Баженов Ю.М. Технология бетона: учеб. пособие. </w:t>
      </w:r>
      <w:r>
        <w:rPr>
          <w:rFonts w:eastAsia="Times New Roman"/>
          <w:sz w:val="20"/>
          <w:szCs w:val="20"/>
        </w:rPr>
        <w:t>М. : Высшая школа, 1987. 415 с.</w:t>
      </w:r>
    </w:p>
    <w:p w:rsidR="00AD4267" w:rsidRDefault="00AD4267">
      <w:pPr>
        <w:spacing w:line="11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3"/>
        </w:numPr>
        <w:tabs>
          <w:tab w:val="left" w:pos="638"/>
        </w:tabs>
        <w:spacing w:line="237" w:lineRule="auto"/>
        <w:ind w:left="7" w:firstLine="4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Ерофеев В.Т., Баженов Ю.М., Балатханова Э.М., Митина Е.А., Емельянов Д.В., Родин А.И., Карпушин С.Н. Получение и физико-механические свойства цементных композитов с применением наполнителей и воды затворения месторождений ч</w:t>
      </w:r>
      <w:r>
        <w:rPr>
          <w:rFonts w:eastAsia="Times New Roman"/>
          <w:sz w:val="20"/>
          <w:szCs w:val="20"/>
        </w:rPr>
        <w:t>еченской республики // Вестник МГСУ. 2014. № 12. С. 141-151.</w:t>
      </w:r>
    </w:p>
    <w:p w:rsidR="00AD4267" w:rsidRDefault="00AD4267">
      <w:pPr>
        <w:spacing w:line="14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3"/>
        </w:numPr>
        <w:tabs>
          <w:tab w:val="left" w:pos="638"/>
        </w:tabs>
        <w:spacing w:line="238" w:lineRule="auto"/>
        <w:ind w:left="7" w:firstLine="4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Ерофеев В.Т., Калашников В.И., Смирнов В.Ф., Карпушин С.Н., Родин А.И., Красноглазов А.М., Челмакин А.Ю. Стойкость цементных композитов на биоцидном портландцементе с активной минеральной </w:t>
      </w:r>
      <w:r>
        <w:rPr>
          <w:rFonts w:eastAsia="Times New Roman"/>
          <w:sz w:val="20"/>
          <w:szCs w:val="20"/>
        </w:rPr>
        <w:t>добавкой в условиях воздействия модельной среды бактерий // Промышленное и гражданское строительство. 2016. № 1.</w:t>
      </w:r>
    </w:p>
    <w:p w:rsidR="00AD4267" w:rsidRDefault="00363CDF">
      <w:pPr>
        <w:numPr>
          <w:ilvl w:val="0"/>
          <w:numId w:val="3"/>
        </w:numPr>
        <w:tabs>
          <w:tab w:val="left" w:pos="227"/>
        </w:tabs>
        <w:spacing w:line="237" w:lineRule="auto"/>
        <w:ind w:left="227" w:hanging="22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11–17.</w:t>
      </w:r>
    </w:p>
    <w:p w:rsidR="00AD4267" w:rsidRDefault="00AD4267">
      <w:pPr>
        <w:spacing w:line="12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4"/>
        </w:numPr>
        <w:tabs>
          <w:tab w:val="left" w:pos="638"/>
        </w:tabs>
        <w:spacing w:line="238" w:lineRule="auto"/>
        <w:ind w:left="7" w:firstLine="4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Ерофеев В.Т., Родин А.И., Богатов А.Д., Казначеев С.В., Смирнов В.Ф., Светлов Д.А. Физико-механические свойства и биостойкость цементов</w:t>
      </w:r>
      <w:r>
        <w:rPr>
          <w:rFonts w:eastAsia="Times New Roman"/>
          <w:sz w:val="20"/>
          <w:szCs w:val="20"/>
        </w:rPr>
        <w:t>, модифицированных сернокислым натрием, фтористым натрием и полигексаметиленгуанидин стеаратом // Известия ТулГУ. Технические науки. Вып. 7. Тула : Изд-во ТулГУ, 2012. Ч. 2. С. 292-309.</w:t>
      </w:r>
    </w:p>
    <w:p w:rsidR="00AD4267" w:rsidRDefault="00AD4267">
      <w:pPr>
        <w:spacing w:line="12" w:lineRule="exact"/>
        <w:rPr>
          <w:rFonts w:eastAsia="Times New Roman"/>
          <w:sz w:val="20"/>
          <w:szCs w:val="20"/>
        </w:rPr>
      </w:pPr>
    </w:p>
    <w:p w:rsidR="00AD4267" w:rsidRPr="00363CDF" w:rsidRDefault="00363CDF">
      <w:pPr>
        <w:numPr>
          <w:ilvl w:val="1"/>
          <w:numId w:val="4"/>
        </w:numPr>
        <w:tabs>
          <w:tab w:val="left" w:pos="638"/>
        </w:tabs>
        <w:spacing w:line="234" w:lineRule="auto"/>
        <w:ind w:left="7" w:firstLine="420"/>
        <w:jc w:val="both"/>
        <w:rPr>
          <w:rFonts w:eastAsia="Times New Roman"/>
          <w:sz w:val="20"/>
          <w:szCs w:val="20"/>
          <w:lang w:val="en-US"/>
        </w:rPr>
      </w:pPr>
      <w:r w:rsidRPr="00363CDF">
        <w:rPr>
          <w:rFonts w:eastAsia="Times New Roman"/>
          <w:sz w:val="20"/>
          <w:szCs w:val="20"/>
          <w:lang w:val="en-US"/>
        </w:rPr>
        <w:t>Jansen D., Goetz-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Neunhoeffer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F.,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Lothenbach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B.,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Neubauer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J. The early</w:t>
      </w:r>
      <w:r w:rsidRPr="00363CDF">
        <w:rPr>
          <w:rFonts w:eastAsia="Times New Roman"/>
          <w:sz w:val="20"/>
          <w:szCs w:val="20"/>
          <w:lang w:val="en-US"/>
        </w:rPr>
        <w:t xml:space="preserve"> hydration of Ordinary Portland Cement (OPC): An approach</w:t>
      </w:r>
    </w:p>
    <w:p w:rsidR="00AD4267" w:rsidRPr="00363CDF" w:rsidRDefault="00AD4267">
      <w:pPr>
        <w:rPr>
          <w:lang w:val="en-US"/>
        </w:rPr>
        <w:sectPr w:rsidR="00AD4267" w:rsidRPr="00363CDF">
          <w:pgSz w:w="8400" w:h="11906"/>
          <w:pgMar w:top="1136" w:right="1130" w:bottom="1440" w:left="1133" w:header="0" w:footer="0" w:gutter="0"/>
          <w:cols w:space="720" w:equalWidth="0">
            <w:col w:w="6127"/>
          </w:cols>
        </w:sectPr>
      </w:pPr>
    </w:p>
    <w:p w:rsidR="00AD4267" w:rsidRDefault="00363CDF">
      <w:pPr>
        <w:spacing w:line="234" w:lineRule="auto"/>
        <w:ind w:left="7"/>
        <w:rPr>
          <w:sz w:val="20"/>
          <w:szCs w:val="20"/>
        </w:rPr>
      </w:pPr>
      <w:proofErr w:type="gramStart"/>
      <w:r w:rsidRPr="00363CDF">
        <w:rPr>
          <w:rFonts w:eastAsia="Times New Roman"/>
          <w:sz w:val="20"/>
          <w:szCs w:val="20"/>
          <w:lang w:val="en-US"/>
        </w:rPr>
        <w:lastRenderedPageBreak/>
        <w:t>comparing</w:t>
      </w:r>
      <w:proofErr w:type="gramEnd"/>
      <w:r w:rsidRPr="00363CDF">
        <w:rPr>
          <w:rFonts w:eastAsia="Times New Roman"/>
          <w:sz w:val="20"/>
          <w:szCs w:val="20"/>
          <w:lang w:val="en-US"/>
        </w:rPr>
        <w:t xml:space="preserve"> measured heat flow with calculated heat flow from QXRD // Cement and Concrete Research. </w:t>
      </w:r>
      <w:r>
        <w:rPr>
          <w:rFonts w:eastAsia="Times New Roman"/>
          <w:sz w:val="20"/>
          <w:szCs w:val="20"/>
        </w:rPr>
        <w:t>2012. Vol. 42. Рр. 134-138.</w:t>
      </w:r>
    </w:p>
    <w:p w:rsidR="00AD4267" w:rsidRDefault="00AD4267">
      <w:pPr>
        <w:spacing w:line="12" w:lineRule="exact"/>
        <w:rPr>
          <w:sz w:val="20"/>
          <w:szCs w:val="20"/>
        </w:rPr>
      </w:pPr>
    </w:p>
    <w:p w:rsidR="00AD4267" w:rsidRDefault="00363CDF">
      <w:pPr>
        <w:numPr>
          <w:ilvl w:val="1"/>
          <w:numId w:val="5"/>
        </w:numPr>
        <w:tabs>
          <w:tab w:val="left" w:pos="638"/>
        </w:tabs>
        <w:spacing w:line="237" w:lineRule="auto"/>
        <w:ind w:left="7" w:firstLine="420"/>
        <w:jc w:val="both"/>
        <w:rPr>
          <w:rFonts w:eastAsia="Times New Roman"/>
          <w:sz w:val="20"/>
          <w:szCs w:val="20"/>
        </w:rPr>
      </w:pPr>
      <w:proofErr w:type="spellStart"/>
      <w:r w:rsidRPr="00363CDF">
        <w:rPr>
          <w:rFonts w:eastAsia="Times New Roman"/>
          <w:sz w:val="20"/>
          <w:szCs w:val="20"/>
          <w:lang w:val="en-US"/>
        </w:rPr>
        <w:t>Erofeev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V., Kalashnikov V.,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Karpushin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S., Rodin A</w:t>
      </w:r>
      <w:r w:rsidRPr="00363CDF">
        <w:rPr>
          <w:rFonts w:eastAsia="Times New Roman"/>
          <w:sz w:val="20"/>
          <w:szCs w:val="20"/>
          <w:lang w:val="en-US"/>
        </w:rPr>
        <w:t xml:space="preserve">., Smirnov V.,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Smirnova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O.,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Moroz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M.,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Rimshin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V.,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Tretiakov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I.,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Matvievskiy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A. Physical and mechanical properties of the cement stone based on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biocidal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Portland cement with active mineral additive // Solid State Phenomena. </w:t>
      </w:r>
      <w:r>
        <w:rPr>
          <w:rFonts w:eastAsia="Times New Roman"/>
          <w:sz w:val="20"/>
          <w:szCs w:val="20"/>
        </w:rPr>
        <w:t>2016. Vol.</w:t>
      </w:r>
    </w:p>
    <w:p w:rsidR="00AD4267" w:rsidRDefault="00AD4267">
      <w:pPr>
        <w:spacing w:line="1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0"/>
          <w:numId w:val="6"/>
        </w:numPr>
        <w:tabs>
          <w:tab w:val="left" w:pos="407"/>
        </w:tabs>
        <w:spacing w:line="237" w:lineRule="auto"/>
        <w:ind w:left="407" w:hanging="4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Pp. 28–32.</w:t>
      </w:r>
    </w:p>
    <w:p w:rsidR="00AD4267" w:rsidRDefault="00AD4267">
      <w:pPr>
        <w:spacing w:line="12" w:lineRule="exact"/>
        <w:rPr>
          <w:rFonts w:eastAsia="Times New Roman"/>
          <w:sz w:val="20"/>
          <w:szCs w:val="20"/>
        </w:rPr>
      </w:pPr>
    </w:p>
    <w:p w:rsidR="00AD4267" w:rsidRDefault="00363CDF">
      <w:pPr>
        <w:numPr>
          <w:ilvl w:val="1"/>
          <w:numId w:val="6"/>
        </w:numPr>
        <w:tabs>
          <w:tab w:val="left" w:pos="739"/>
        </w:tabs>
        <w:spacing w:line="236" w:lineRule="auto"/>
        <w:ind w:left="7" w:firstLine="420"/>
        <w:jc w:val="both"/>
        <w:rPr>
          <w:rFonts w:eastAsia="Times New Roman"/>
          <w:sz w:val="20"/>
          <w:szCs w:val="20"/>
        </w:rPr>
      </w:pPr>
      <w:proofErr w:type="spellStart"/>
      <w:r w:rsidRPr="00363CDF">
        <w:rPr>
          <w:rFonts w:eastAsia="Times New Roman"/>
          <w:sz w:val="20"/>
          <w:szCs w:val="20"/>
          <w:lang w:val="en-US"/>
        </w:rPr>
        <w:t>Erofeev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</w:t>
      </w:r>
      <w:r w:rsidRPr="00363CDF">
        <w:rPr>
          <w:rFonts w:eastAsia="Times New Roman"/>
          <w:sz w:val="20"/>
          <w:szCs w:val="20"/>
          <w:lang w:val="en-US"/>
        </w:rPr>
        <w:t xml:space="preserve">V.,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Korotaev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S.,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Bulgakov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A.,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Tretiakov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T., Rodin A. Getting Fired Material with Vitreous Binder Using Frame Technology // </w:t>
      </w:r>
      <w:proofErr w:type="spellStart"/>
      <w:r w:rsidRPr="00363CDF">
        <w:rPr>
          <w:rFonts w:eastAsia="Times New Roman"/>
          <w:sz w:val="20"/>
          <w:szCs w:val="20"/>
          <w:lang w:val="en-US"/>
        </w:rPr>
        <w:t>Procedia</w:t>
      </w:r>
      <w:proofErr w:type="spellEnd"/>
      <w:r w:rsidRPr="00363CDF">
        <w:rPr>
          <w:rFonts w:eastAsia="Times New Roman"/>
          <w:sz w:val="20"/>
          <w:szCs w:val="20"/>
          <w:lang w:val="en-US"/>
        </w:rPr>
        <w:t xml:space="preserve"> Engineering. </w:t>
      </w:r>
      <w:r>
        <w:rPr>
          <w:rFonts w:eastAsia="Times New Roman"/>
          <w:sz w:val="20"/>
          <w:szCs w:val="20"/>
        </w:rPr>
        <w:t>2016. Vol. 164. Pp. 166-171.</w:t>
      </w:r>
    </w:p>
    <w:sectPr w:rsidR="00AD4267">
      <w:pgSz w:w="8400" w:h="11906"/>
      <w:pgMar w:top="1136" w:right="1130" w:bottom="1440" w:left="1133" w:header="0" w:footer="0" w:gutter="0"/>
      <w:cols w:space="720" w:equalWidth="0">
        <w:col w:w="6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F97EECBC"/>
    <w:lvl w:ilvl="0" w:tplc="95545EC8">
      <w:start w:val="1"/>
      <w:numFmt w:val="bullet"/>
      <w:lvlText w:val="С."/>
      <w:lvlJc w:val="left"/>
    </w:lvl>
    <w:lvl w:ilvl="1" w:tplc="B3F07B98">
      <w:start w:val="1"/>
      <w:numFmt w:val="decimal"/>
      <w:lvlText w:val="%2."/>
      <w:lvlJc w:val="left"/>
    </w:lvl>
    <w:lvl w:ilvl="2" w:tplc="1292C016">
      <w:numFmt w:val="decimal"/>
      <w:lvlText w:val=""/>
      <w:lvlJc w:val="left"/>
    </w:lvl>
    <w:lvl w:ilvl="3" w:tplc="8C1EF334">
      <w:numFmt w:val="decimal"/>
      <w:lvlText w:val=""/>
      <w:lvlJc w:val="left"/>
    </w:lvl>
    <w:lvl w:ilvl="4" w:tplc="A5D0C50E">
      <w:numFmt w:val="decimal"/>
      <w:lvlText w:val=""/>
      <w:lvlJc w:val="left"/>
    </w:lvl>
    <w:lvl w:ilvl="5" w:tplc="280EFB72">
      <w:numFmt w:val="decimal"/>
      <w:lvlText w:val=""/>
      <w:lvlJc w:val="left"/>
    </w:lvl>
    <w:lvl w:ilvl="6" w:tplc="ECEA4B9C">
      <w:numFmt w:val="decimal"/>
      <w:lvlText w:val=""/>
      <w:lvlJc w:val="left"/>
    </w:lvl>
    <w:lvl w:ilvl="7" w:tplc="2ABCC818">
      <w:numFmt w:val="decimal"/>
      <w:lvlText w:val=""/>
      <w:lvlJc w:val="left"/>
    </w:lvl>
    <w:lvl w:ilvl="8" w:tplc="CC06BE6A">
      <w:numFmt w:val="decimal"/>
      <w:lvlText w:val=""/>
      <w:lvlJc w:val="left"/>
    </w:lvl>
  </w:abstractNum>
  <w:abstractNum w:abstractNumId="1">
    <w:nsid w:val="000041BB"/>
    <w:multiLevelType w:val="hybridMultilevel"/>
    <w:tmpl w:val="12A496C8"/>
    <w:lvl w:ilvl="0" w:tplc="E02EE4D8">
      <w:start w:val="871"/>
      <w:numFmt w:val="decimal"/>
      <w:lvlText w:val="%1."/>
      <w:lvlJc w:val="left"/>
    </w:lvl>
    <w:lvl w:ilvl="1" w:tplc="F698CB4E">
      <w:start w:val="10"/>
      <w:numFmt w:val="decimal"/>
      <w:lvlText w:val="%2."/>
      <w:lvlJc w:val="left"/>
    </w:lvl>
    <w:lvl w:ilvl="2" w:tplc="F03CEB30">
      <w:numFmt w:val="decimal"/>
      <w:lvlText w:val=""/>
      <w:lvlJc w:val="left"/>
    </w:lvl>
    <w:lvl w:ilvl="3" w:tplc="445E545C">
      <w:numFmt w:val="decimal"/>
      <w:lvlText w:val=""/>
      <w:lvlJc w:val="left"/>
    </w:lvl>
    <w:lvl w:ilvl="4" w:tplc="9DA41C4E">
      <w:numFmt w:val="decimal"/>
      <w:lvlText w:val=""/>
      <w:lvlJc w:val="left"/>
    </w:lvl>
    <w:lvl w:ilvl="5" w:tplc="3EE07A3A">
      <w:numFmt w:val="decimal"/>
      <w:lvlText w:val=""/>
      <w:lvlJc w:val="left"/>
    </w:lvl>
    <w:lvl w:ilvl="6" w:tplc="610C7648">
      <w:numFmt w:val="decimal"/>
      <w:lvlText w:val=""/>
      <w:lvlJc w:val="left"/>
    </w:lvl>
    <w:lvl w:ilvl="7" w:tplc="2CDA1992">
      <w:numFmt w:val="decimal"/>
      <w:lvlText w:val=""/>
      <w:lvlJc w:val="left"/>
    </w:lvl>
    <w:lvl w:ilvl="8" w:tplc="5BA2B196">
      <w:numFmt w:val="decimal"/>
      <w:lvlText w:val=""/>
      <w:lvlJc w:val="left"/>
    </w:lvl>
  </w:abstractNum>
  <w:abstractNum w:abstractNumId="2">
    <w:nsid w:val="00005AF1"/>
    <w:multiLevelType w:val="hybridMultilevel"/>
    <w:tmpl w:val="0298CEC6"/>
    <w:lvl w:ilvl="0" w:tplc="37FE91A4">
      <w:start w:val="1"/>
      <w:numFmt w:val="decimal"/>
      <w:lvlText w:val="%1"/>
      <w:lvlJc w:val="left"/>
    </w:lvl>
    <w:lvl w:ilvl="1" w:tplc="CEE0F400">
      <w:start w:val="9"/>
      <w:numFmt w:val="decimal"/>
      <w:lvlText w:val="%2."/>
      <w:lvlJc w:val="left"/>
    </w:lvl>
    <w:lvl w:ilvl="2" w:tplc="45E8518A">
      <w:numFmt w:val="decimal"/>
      <w:lvlText w:val=""/>
      <w:lvlJc w:val="left"/>
    </w:lvl>
    <w:lvl w:ilvl="3" w:tplc="B316C09A">
      <w:numFmt w:val="decimal"/>
      <w:lvlText w:val=""/>
      <w:lvlJc w:val="left"/>
    </w:lvl>
    <w:lvl w:ilvl="4" w:tplc="88745284">
      <w:numFmt w:val="decimal"/>
      <w:lvlText w:val=""/>
      <w:lvlJc w:val="left"/>
    </w:lvl>
    <w:lvl w:ilvl="5" w:tplc="2A788272">
      <w:numFmt w:val="decimal"/>
      <w:lvlText w:val=""/>
      <w:lvlJc w:val="left"/>
    </w:lvl>
    <w:lvl w:ilvl="6" w:tplc="C2585826">
      <w:numFmt w:val="decimal"/>
      <w:lvlText w:val=""/>
      <w:lvlJc w:val="left"/>
    </w:lvl>
    <w:lvl w:ilvl="7" w:tplc="27CC0260">
      <w:numFmt w:val="decimal"/>
      <w:lvlText w:val=""/>
      <w:lvlJc w:val="left"/>
    </w:lvl>
    <w:lvl w:ilvl="8" w:tplc="55E0ECCC">
      <w:numFmt w:val="decimal"/>
      <w:lvlText w:val=""/>
      <w:lvlJc w:val="left"/>
    </w:lvl>
  </w:abstractNum>
  <w:abstractNum w:abstractNumId="3">
    <w:nsid w:val="00005F90"/>
    <w:multiLevelType w:val="hybridMultilevel"/>
    <w:tmpl w:val="C2C23C32"/>
    <w:lvl w:ilvl="0" w:tplc="9EE41218">
      <w:start w:val="1"/>
      <w:numFmt w:val="bullet"/>
      <w:lvlText w:val="б"/>
      <w:lvlJc w:val="left"/>
    </w:lvl>
    <w:lvl w:ilvl="1" w:tplc="93EAEFE4">
      <w:numFmt w:val="decimal"/>
      <w:lvlText w:val=""/>
      <w:lvlJc w:val="left"/>
    </w:lvl>
    <w:lvl w:ilvl="2" w:tplc="9054585A">
      <w:numFmt w:val="decimal"/>
      <w:lvlText w:val=""/>
      <w:lvlJc w:val="left"/>
    </w:lvl>
    <w:lvl w:ilvl="3" w:tplc="04C4265C">
      <w:numFmt w:val="decimal"/>
      <w:lvlText w:val=""/>
      <w:lvlJc w:val="left"/>
    </w:lvl>
    <w:lvl w:ilvl="4" w:tplc="08C26E3C">
      <w:numFmt w:val="decimal"/>
      <w:lvlText w:val=""/>
      <w:lvlJc w:val="left"/>
    </w:lvl>
    <w:lvl w:ilvl="5" w:tplc="72549A9C">
      <w:numFmt w:val="decimal"/>
      <w:lvlText w:val=""/>
      <w:lvlJc w:val="left"/>
    </w:lvl>
    <w:lvl w:ilvl="6" w:tplc="BB7873CE">
      <w:numFmt w:val="decimal"/>
      <w:lvlText w:val=""/>
      <w:lvlJc w:val="left"/>
    </w:lvl>
    <w:lvl w:ilvl="7" w:tplc="0308CA6E">
      <w:numFmt w:val="decimal"/>
      <w:lvlText w:val=""/>
      <w:lvlJc w:val="left"/>
    </w:lvl>
    <w:lvl w:ilvl="8" w:tplc="8B968D02">
      <w:numFmt w:val="decimal"/>
      <w:lvlText w:val=""/>
      <w:lvlJc w:val="left"/>
    </w:lvl>
  </w:abstractNum>
  <w:abstractNum w:abstractNumId="4">
    <w:nsid w:val="00006952"/>
    <w:multiLevelType w:val="hybridMultilevel"/>
    <w:tmpl w:val="5B1A66F8"/>
    <w:lvl w:ilvl="0" w:tplc="BD003E66">
      <w:start w:val="1"/>
      <w:numFmt w:val="bullet"/>
      <w:lvlText w:val="%."/>
      <w:lvlJc w:val="left"/>
    </w:lvl>
    <w:lvl w:ilvl="1" w:tplc="63761962">
      <w:numFmt w:val="decimal"/>
      <w:lvlText w:val=""/>
      <w:lvlJc w:val="left"/>
    </w:lvl>
    <w:lvl w:ilvl="2" w:tplc="16D8C6C8">
      <w:numFmt w:val="decimal"/>
      <w:lvlText w:val=""/>
      <w:lvlJc w:val="left"/>
    </w:lvl>
    <w:lvl w:ilvl="3" w:tplc="5874D898">
      <w:numFmt w:val="decimal"/>
      <w:lvlText w:val=""/>
      <w:lvlJc w:val="left"/>
    </w:lvl>
    <w:lvl w:ilvl="4" w:tplc="FDDECB32">
      <w:numFmt w:val="decimal"/>
      <w:lvlText w:val=""/>
      <w:lvlJc w:val="left"/>
    </w:lvl>
    <w:lvl w:ilvl="5" w:tplc="D0700A8C">
      <w:numFmt w:val="decimal"/>
      <w:lvlText w:val=""/>
      <w:lvlJc w:val="left"/>
    </w:lvl>
    <w:lvl w:ilvl="6" w:tplc="DB4C79E8">
      <w:numFmt w:val="decimal"/>
      <w:lvlText w:val=""/>
      <w:lvlJc w:val="left"/>
    </w:lvl>
    <w:lvl w:ilvl="7" w:tplc="5ABA0556">
      <w:numFmt w:val="decimal"/>
      <w:lvlText w:val=""/>
      <w:lvlJc w:val="left"/>
    </w:lvl>
    <w:lvl w:ilvl="8" w:tplc="EE2CD396">
      <w:numFmt w:val="decimal"/>
      <w:lvlText w:val=""/>
      <w:lvlJc w:val="left"/>
    </w:lvl>
  </w:abstractNum>
  <w:abstractNum w:abstractNumId="5">
    <w:nsid w:val="00006DF1"/>
    <w:multiLevelType w:val="hybridMultilevel"/>
    <w:tmpl w:val="761A3F0E"/>
    <w:lvl w:ilvl="0" w:tplc="6256FE16">
      <w:start w:val="1"/>
      <w:numFmt w:val="bullet"/>
      <w:lvlText w:val="С."/>
      <w:lvlJc w:val="left"/>
    </w:lvl>
    <w:lvl w:ilvl="1" w:tplc="315E67B0">
      <w:start w:val="7"/>
      <w:numFmt w:val="decimal"/>
      <w:lvlText w:val="%2."/>
      <w:lvlJc w:val="left"/>
    </w:lvl>
    <w:lvl w:ilvl="2" w:tplc="2C227C5A">
      <w:numFmt w:val="decimal"/>
      <w:lvlText w:val=""/>
      <w:lvlJc w:val="left"/>
    </w:lvl>
    <w:lvl w:ilvl="3" w:tplc="E7149552">
      <w:numFmt w:val="decimal"/>
      <w:lvlText w:val=""/>
      <w:lvlJc w:val="left"/>
    </w:lvl>
    <w:lvl w:ilvl="4" w:tplc="F732BDA6">
      <w:numFmt w:val="decimal"/>
      <w:lvlText w:val=""/>
      <w:lvlJc w:val="left"/>
    </w:lvl>
    <w:lvl w:ilvl="5" w:tplc="FB30E1EA">
      <w:numFmt w:val="decimal"/>
      <w:lvlText w:val=""/>
      <w:lvlJc w:val="left"/>
    </w:lvl>
    <w:lvl w:ilvl="6" w:tplc="58947D44">
      <w:numFmt w:val="decimal"/>
      <w:lvlText w:val=""/>
      <w:lvlJc w:val="left"/>
    </w:lvl>
    <w:lvl w:ilvl="7" w:tplc="3B3CF4AE">
      <w:numFmt w:val="decimal"/>
      <w:lvlText w:val=""/>
      <w:lvlJc w:val="left"/>
    </w:lvl>
    <w:lvl w:ilvl="8" w:tplc="72860CCA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67"/>
    <w:rsid w:val="00363CDF"/>
    <w:rsid w:val="00A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2020-09-25T10:21:00Z</dcterms:created>
  <dcterms:modified xsi:type="dcterms:W3CDTF">2020-09-25T07:36:00Z</dcterms:modified>
</cp:coreProperties>
</file>